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FD2E5" w14:textId="77777777" w:rsidR="00BB2B0F" w:rsidRPr="00FB3489" w:rsidRDefault="00BB2B0F" w:rsidP="00E61BC0">
      <w:pPr>
        <w:snapToGrid w:val="0"/>
        <w:rPr>
          <w:rFonts w:ascii="Calibri" w:hAnsi="Calibri" w:cs="Calibri"/>
          <w:b/>
          <w:bCs/>
          <w:noProof/>
          <w:sz w:val="28"/>
          <w:szCs w:val="28"/>
        </w:rPr>
      </w:pPr>
      <w:r w:rsidRPr="00FB3489">
        <w:rPr>
          <w:rFonts w:ascii="Calibri" w:hAnsi="Calibri" w:cs="Calibri"/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2EA45E2C" wp14:editId="408DC153">
            <wp:extent cx="1286933" cy="34482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372" cy="35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4CE0F" w14:textId="660CEC40" w:rsidR="00BB2B0F" w:rsidRPr="00FB3489" w:rsidRDefault="00BB2B0F" w:rsidP="00E61BC0">
      <w:pPr>
        <w:snapToGrid w:val="0"/>
        <w:jc w:val="center"/>
        <w:rPr>
          <w:rFonts w:ascii="Calibri" w:hAnsi="Calibri" w:cs="Calibri"/>
          <w:noProof/>
          <w:sz w:val="16"/>
          <w:szCs w:val="16"/>
        </w:rPr>
      </w:pPr>
    </w:p>
    <w:p w14:paraId="0BC62225" w14:textId="77777777" w:rsidR="00227EBE" w:rsidRPr="00FB3489" w:rsidRDefault="00685685" w:rsidP="00227EBE">
      <w:pPr>
        <w:snapToGrid w:val="0"/>
        <w:jc w:val="center"/>
        <w:rPr>
          <w:rFonts w:ascii="Calibri" w:hAnsi="Calibri" w:cs="Calibri"/>
          <w:b/>
          <w:bCs/>
          <w:noProof/>
          <w:sz w:val="28"/>
          <w:szCs w:val="28"/>
        </w:rPr>
      </w:pPr>
      <w:r w:rsidRPr="00FB3489">
        <w:rPr>
          <w:rFonts w:ascii="Calibri" w:hAnsi="Calibri" w:cs="Calibri"/>
          <w:b/>
          <w:bCs/>
          <w:noProof/>
          <w:sz w:val="28"/>
          <w:szCs w:val="28"/>
        </w:rPr>
        <w:t>Athlon Italy ottiene la certificazione</w:t>
      </w:r>
    </w:p>
    <w:p w14:paraId="11A8BF5E" w14:textId="749B7AE2" w:rsidR="00094CF3" w:rsidRPr="00FB3489" w:rsidRDefault="00685685" w:rsidP="00227EBE">
      <w:pPr>
        <w:snapToGrid w:val="0"/>
        <w:jc w:val="center"/>
        <w:rPr>
          <w:rFonts w:ascii="Calibri" w:hAnsi="Calibri" w:cs="Calibri"/>
          <w:b/>
          <w:bCs/>
          <w:noProof/>
          <w:sz w:val="28"/>
          <w:szCs w:val="28"/>
        </w:rPr>
      </w:pPr>
      <w:r w:rsidRPr="00FB3489">
        <w:rPr>
          <w:rFonts w:ascii="Calibri" w:hAnsi="Calibri" w:cs="Calibri"/>
          <w:b/>
          <w:bCs/>
          <w:noProof/>
          <w:sz w:val="28"/>
          <w:szCs w:val="28"/>
        </w:rPr>
        <w:t>UNI PdR 125:2022 per la parità di genere</w:t>
      </w:r>
    </w:p>
    <w:p w14:paraId="649800DE" w14:textId="36663797" w:rsidR="00094CF3" w:rsidRPr="00FB3489" w:rsidRDefault="00094CF3" w:rsidP="00E61BC0">
      <w:pPr>
        <w:snapToGrid w:val="0"/>
        <w:rPr>
          <w:rFonts w:ascii="Calibri" w:hAnsi="Calibri" w:cs="Calibri"/>
          <w:noProof/>
          <w:sz w:val="10"/>
          <w:szCs w:val="10"/>
        </w:rPr>
      </w:pPr>
    </w:p>
    <w:p w14:paraId="0A6F67C3" w14:textId="55FBF279" w:rsidR="00094CF3" w:rsidRPr="00FB3489" w:rsidRDefault="00227EBE" w:rsidP="00227EBE">
      <w:pPr>
        <w:snapToGrid w:val="0"/>
        <w:jc w:val="center"/>
        <w:rPr>
          <w:rFonts w:ascii="Calibri" w:hAnsi="Calibri" w:cs="Calibri"/>
          <w:noProof/>
          <w:sz w:val="22"/>
          <w:szCs w:val="22"/>
        </w:rPr>
      </w:pPr>
      <w:r w:rsidRPr="00FB3489">
        <w:rPr>
          <w:rFonts w:ascii="Calibri" w:hAnsi="Calibri" w:cs="Calibri"/>
          <w:noProof/>
          <w:sz w:val="22"/>
          <w:szCs w:val="22"/>
          <w14:ligatures w14:val="standardContextual"/>
        </w:rPr>
        <w:drawing>
          <wp:inline distT="0" distB="0" distL="0" distR="0" wp14:anchorId="0BD935F0" wp14:editId="5AC2395B">
            <wp:extent cx="3539066" cy="2005642"/>
            <wp:effectExtent l="0" t="0" r="4445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643" cy="201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1F801" w14:textId="23E4155B" w:rsidR="00095875" w:rsidRPr="00FB3489" w:rsidRDefault="00095875" w:rsidP="00227EBE">
      <w:pPr>
        <w:snapToGrid w:val="0"/>
        <w:jc w:val="center"/>
        <w:rPr>
          <w:rFonts w:ascii="Calibri" w:hAnsi="Calibri" w:cs="Calibri"/>
          <w:noProof/>
          <w:sz w:val="4"/>
          <w:szCs w:val="4"/>
        </w:rPr>
      </w:pPr>
    </w:p>
    <w:p w14:paraId="73B35F8C" w14:textId="215A86B6" w:rsidR="00C247A3" w:rsidRPr="00937CDE" w:rsidRDefault="00C247A3" w:rsidP="00C247A3">
      <w:pPr>
        <w:snapToGrid w:val="0"/>
        <w:spacing w:line="220" w:lineRule="exact"/>
        <w:ind w:left="-284" w:right="-285"/>
        <w:jc w:val="center"/>
        <w:rPr>
          <w:rFonts w:ascii="Calibri" w:hAnsi="Calibri" w:cs="Calibri"/>
          <w:noProof/>
          <w:color w:val="404040" w:themeColor="text1" w:themeTint="BF"/>
          <w:sz w:val="20"/>
          <w:szCs w:val="20"/>
        </w:rPr>
      </w:pPr>
      <w:r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>Nella foto i membri del Comitato Pari Opportunità di Athlon Italy. Da sx</w:t>
      </w:r>
      <w:r w:rsidR="00095875"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 xml:space="preserve"> Federico Caracciolo (Managing Director), </w:t>
      </w:r>
    </w:p>
    <w:p w14:paraId="5BC66777" w14:textId="67051BAD" w:rsidR="00095875" w:rsidRPr="00937CDE" w:rsidRDefault="00095875" w:rsidP="00C247A3">
      <w:pPr>
        <w:snapToGrid w:val="0"/>
        <w:spacing w:line="220" w:lineRule="exact"/>
        <w:ind w:left="-284" w:right="-285"/>
        <w:jc w:val="center"/>
        <w:rPr>
          <w:rFonts w:ascii="Calibri" w:hAnsi="Calibri" w:cs="Calibri"/>
          <w:noProof/>
          <w:color w:val="404040" w:themeColor="text1" w:themeTint="BF"/>
          <w:sz w:val="20"/>
          <w:szCs w:val="20"/>
        </w:rPr>
      </w:pPr>
      <w:r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>Alessandra Agostini (</w:t>
      </w:r>
      <w:r w:rsidR="00C247A3"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 xml:space="preserve">Chief Commercial Officer), </w:t>
      </w:r>
      <w:r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 xml:space="preserve">Sabrina Forte (Head </w:t>
      </w:r>
      <w:r w:rsid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>o</w:t>
      </w:r>
      <w:r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 xml:space="preserve">f Human Resources) e Giulio Siciliano </w:t>
      </w:r>
      <w:r w:rsidR="00C247A3" w:rsidRPr="00937CDE">
        <w:rPr>
          <w:rFonts w:ascii="Calibri" w:hAnsi="Calibri" w:cs="Calibri"/>
          <w:noProof/>
          <w:color w:val="404040" w:themeColor="text1" w:themeTint="BF"/>
          <w:sz w:val="20"/>
          <w:szCs w:val="20"/>
        </w:rPr>
        <w:t>(Legal Counsel).</w:t>
      </w:r>
    </w:p>
    <w:p w14:paraId="424F4425" w14:textId="77777777" w:rsidR="00094CF3" w:rsidRPr="00FB3489" w:rsidRDefault="00094CF3" w:rsidP="00E61BC0">
      <w:pPr>
        <w:snapToGrid w:val="0"/>
        <w:rPr>
          <w:rFonts w:ascii="Calibri" w:hAnsi="Calibri" w:cs="Calibri"/>
          <w:noProof/>
          <w:sz w:val="10"/>
          <w:szCs w:val="10"/>
        </w:rPr>
      </w:pPr>
    </w:p>
    <w:p w14:paraId="6FB7F301" w14:textId="4134668A" w:rsidR="00685685" w:rsidRPr="00FB3489" w:rsidRDefault="00685685" w:rsidP="00E61BC0">
      <w:pPr>
        <w:snapToGrid w:val="0"/>
        <w:jc w:val="both"/>
        <w:rPr>
          <w:rFonts w:ascii="Calibri" w:hAnsi="Calibri" w:cs="Calibri"/>
          <w:noProof/>
          <w:sz w:val="22"/>
          <w:szCs w:val="22"/>
        </w:rPr>
      </w:pPr>
      <w:r w:rsidRPr="00FB3489">
        <w:rPr>
          <w:rFonts w:ascii="Calibri" w:hAnsi="Calibri" w:cs="Calibri"/>
          <w:i/>
          <w:iCs/>
          <w:noProof/>
          <w:sz w:val="22"/>
          <w:szCs w:val="22"/>
        </w:rPr>
        <w:t xml:space="preserve">Roma, </w:t>
      </w:r>
      <w:r w:rsidR="000F567B" w:rsidRPr="00FB3489">
        <w:rPr>
          <w:rFonts w:ascii="Calibri" w:hAnsi="Calibri" w:cs="Calibri"/>
          <w:i/>
          <w:iCs/>
          <w:noProof/>
          <w:sz w:val="22"/>
          <w:szCs w:val="22"/>
        </w:rPr>
        <w:t xml:space="preserve">4 </w:t>
      </w:r>
      <w:r w:rsidR="00227EBE" w:rsidRPr="00FB3489">
        <w:rPr>
          <w:rFonts w:ascii="Calibri" w:hAnsi="Calibri" w:cs="Calibri"/>
          <w:i/>
          <w:iCs/>
          <w:noProof/>
          <w:sz w:val="22"/>
          <w:szCs w:val="22"/>
        </w:rPr>
        <w:t>febbraio</w:t>
      </w:r>
      <w:r w:rsidRPr="00FB3489">
        <w:rPr>
          <w:rFonts w:ascii="Calibri" w:hAnsi="Calibri" w:cs="Calibri"/>
          <w:i/>
          <w:iCs/>
          <w:noProof/>
          <w:sz w:val="22"/>
          <w:szCs w:val="22"/>
        </w:rPr>
        <w:t xml:space="preserve"> 2025 - </w:t>
      </w:r>
      <w:r w:rsidRPr="00FB3489">
        <w:rPr>
          <w:rFonts w:ascii="Calibri" w:hAnsi="Calibri" w:cs="Calibri"/>
          <w:b/>
          <w:bCs/>
          <w:noProof/>
          <w:sz w:val="22"/>
          <w:szCs w:val="22"/>
        </w:rPr>
        <w:t>Athlon Italy</w:t>
      </w:r>
      <w:r w:rsidRPr="00FB3489">
        <w:rPr>
          <w:rFonts w:ascii="Calibri" w:hAnsi="Calibri" w:cs="Calibri"/>
          <w:noProof/>
          <w:sz w:val="22"/>
          <w:szCs w:val="22"/>
        </w:rPr>
        <w:t xml:space="preserve"> ottiene 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la </w:t>
      </w:r>
      <w:r w:rsidRPr="00FB348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certificazione della parità di genere secondo lo standard UNI/PdR 125:2022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>, diventando la prima</w:t>
      </w:r>
      <w:r w:rsidRPr="00FB3489">
        <w:rPr>
          <w:rFonts w:ascii="Calibri" w:hAnsi="Calibri" w:cs="Calibri"/>
          <w:noProof/>
          <w:sz w:val="22"/>
          <w:szCs w:val="22"/>
        </w:rPr>
        <w:t xml:space="preserve"> azienda 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del Gruppo di noleggio a lungo temine e servizi automotive, parte di Mercedes-Benz Mobility AG, a raggiungere questo traguardo: la norma 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accompagna le imprese nell’adozione di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politiche e misure concrete per valorizzare le diversità, garantire pari opportunità e ridurre il 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gap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di genere nel mondo del lavoro, proprio come previsto 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dal quinto obiettivo dell’Agenda ONU 2030 e dalla Missione 5 del PNRR, ‘inclusione e coesione’.</w:t>
      </w:r>
    </w:p>
    <w:p w14:paraId="7EF25848" w14:textId="77777777" w:rsidR="00685685" w:rsidRPr="00FB3489" w:rsidRDefault="00685685" w:rsidP="00E61BC0">
      <w:pPr>
        <w:snapToGrid w:val="0"/>
        <w:rPr>
          <w:rFonts w:ascii="Calibri" w:eastAsia="Times New Roman" w:hAnsi="Calibri" w:cs="Calibri"/>
          <w:noProof/>
          <w:color w:val="000000" w:themeColor="text1"/>
          <w:sz w:val="11"/>
          <w:szCs w:val="11"/>
          <w:lang w:eastAsia="it-IT"/>
        </w:rPr>
      </w:pPr>
    </w:p>
    <w:p w14:paraId="3231CA27" w14:textId="06767027" w:rsidR="00685685" w:rsidRPr="00FB3489" w:rsidRDefault="00685685" w:rsidP="00E61BC0">
      <w:pPr>
        <w:jc w:val="both"/>
        <w:rPr>
          <w:rFonts w:ascii="Calibri" w:eastAsia="Times New Roman" w:hAnsi="Calibri" w:cs="Calibri"/>
          <w:i/>
          <w:iCs/>
          <w:noProof/>
          <w:color w:val="000000" w:themeColor="text1"/>
          <w:sz w:val="22"/>
          <w:szCs w:val="22"/>
          <w:lang w:eastAsia="it-IT"/>
        </w:rPr>
      </w:pPr>
      <w:r w:rsidRPr="00FB3489">
        <w:rPr>
          <w:rFonts w:ascii="Calibri" w:eastAsia="Times New Roman" w:hAnsi="Calibri" w:cs="Calibri"/>
          <w:i/>
          <w:iCs/>
          <w:noProof/>
          <w:color w:val="000000"/>
          <w:sz w:val="22"/>
          <w:szCs w:val="22"/>
          <w:lang w:eastAsia="it-IT"/>
        </w:rPr>
        <w:t>“In Athlon traduciamo i nostri valori in azioni concret</w:t>
      </w:r>
      <w:r w:rsidR="004F1220" w:rsidRPr="00FB3489">
        <w:rPr>
          <w:rFonts w:ascii="Calibri" w:eastAsia="Times New Roman" w:hAnsi="Calibri" w:cs="Calibri"/>
          <w:i/>
          <w:iCs/>
          <w:noProof/>
          <w:color w:val="000000"/>
          <w:sz w:val="22"/>
          <w:szCs w:val="22"/>
          <w:lang w:eastAsia="it-IT"/>
        </w:rPr>
        <w:t>e</w:t>
      </w:r>
      <w:r w:rsidRPr="00FB3489">
        <w:rPr>
          <w:rFonts w:ascii="Calibri" w:eastAsia="Times New Roman" w:hAnsi="Calibri" w:cs="Calibri"/>
          <w:i/>
          <w:iCs/>
          <w:noProof/>
          <w:color w:val="000000"/>
          <w:sz w:val="22"/>
          <w:szCs w:val="22"/>
          <w:lang w:eastAsia="it-IT"/>
        </w:rPr>
        <w:t xml:space="preserve"> e siamo molto orgogliosi di questa certificazione </w:t>
      </w:r>
      <w:r w:rsidR="00937CDE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-</w:t>
      </w:r>
      <w:r w:rsidRPr="00FB3489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 xml:space="preserve"> dichiara </w:t>
      </w:r>
      <w:r w:rsidRPr="00FB3489">
        <w:rPr>
          <w:rFonts w:ascii="Calibri" w:eastAsia="Times New Roman" w:hAnsi="Calibri" w:cs="Calibri"/>
          <w:b/>
          <w:bCs/>
          <w:noProof/>
          <w:color w:val="000000"/>
          <w:sz w:val="22"/>
          <w:szCs w:val="22"/>
          <w:lang w:eastAsia="it-IT"/>
        </w:rPr>
        <w:t>Federico Caracciolo, Managing Director di Athlon Italy</w:t>
      </w:r>
      <w:r w:rsidRPr="00FB3489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. Inoltre,</w:t>
      </w:r>
      <w:r w:rsidRPr="00FB3489">
        <w:rPr>
          <w:rFonts w:ascii="Calibri" w:eastAsia="Times New Roman" w:hAnsi="Calibri" w:cs="Calibri"/>
          <w:b/>
          <w:bCs/>
          <w:noProof/>
          <w:color w:val="000000"/>
          <w:sz w:val="22"/>
          <w:szCs w:val="22"/>
          <w:lang w:eastAsia="it-IT"/>
        </w:rPr>
        <w:t xml:space="preserve"> Sabrina Forte, Head of Human Resources di Athlon Italy </w:t>
      </w:r>
      <w:r w:rsidR="00937CDE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aggiunge</w:t>
      </w:r>
      <w:r w:rsidR="00E61BC0" w:rsidRPr="00FB3489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:</w:t>
      </w:r>
      <w:r w:rsidRPr="00FB3489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 xml:space="preserve"> “</w:t>
      </w:r>
      <w:r w:rsidRPr="00FB3489">
        <w:rPr>
          <w:rFonts w:ascii="Calibri" w:eastAsia="Times New Roman" w:hAnsi="Calibri" w:cs="Calibri"/>
          <w:i/>
          <w:iCs/>
          <w:noProof/>
          <w:color w:val="000000" w:themeColor="text1"/>
          <w:sz w:val="22"/>
          <w:szCs w:val="22"/>
          <w:lang w:eastAsia="it-IT"/>
        </w:rPr>
        <w:t>Il percorso intrapreso per la certificazione ha sicuramente agito sull’intera cultura aziendale ma la parità di genere, come ormai dimostrato da numerosi studi, non è solo una questione etica, è un motore di crescita economica. Le aziende più inclusive sono in grado di incrementare i risultati con un’importante spinta all’innovazione, di attrarre e mantenere i migliori talenti e di creare un valore più elevato, lo stesso che vogliamo portare a vantaggio dei nostri clienti.”</w:t>
      </w:r>
    </w:p>
    <w:p w14:paraId="284F7BE8" w14:textId="77777777" w:rsidR="00E61BC0" w:rsidRPr="00FB3489" w:rsidRDefault="00E61BC0" w:rsidP="00227EBE">
      <w:pPr>
        <w:snapToGrid w:val="0"/>
        <w:rPr>
          <w:rFonts w:ascii="Calibri" w:eastAsia="Times New Roman" w:hAnsi="Calibri" w:cs="Calibri"/>
          <w:noProof/>
          <w:color w:val="000000" w:themeColor="text1"/>
          <w:sz w:val="11"/>
          <w:szCs w:val="11"/>
          <w:lang w:eastAsia="it-IT"/>
        </w:rPr>
      </w:pPr>
    </w:p>
    <w:p w14:paraId="16A5F79C" w14:textId="27A9C5AF" w:rsidR="00685685" w:rsidRPr="00FB3489" w:rsidRDefault="00685685" w:rsidP="00E61BC0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La certificazione volontaria dei Sistemi di Gestione della parità di Genere è stata </w:t>
      </w:r>
      <w:r w:rsidRPr="00FB3489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eastAsia="it-IT"/>
        </w:rPr>
        <w:t xml:space="preserve">rilasciata ad Athlon Italy da </w:t>
      </w:r>
      <w:r w:rsidRPr="00FB348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Dasa Rägister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dopo un 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audit</w:t>
      </w:r>
      <w:r w:rsidRPr="00FB348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positivo che ha valutato le rispondenze dei 30 indicatori (KPI-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Key Performance Indicator) previsti dalla PdR 125 in </w:t>
      </w:r>
      <w:r w:rsidRPr="00FB3489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eastAsia="it-IT"/>
        </w:rPr>
        <w:t>sei differenti aree di valutazione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: cultura e strategia, governance, processi HR, opportunità di crescita e inclusione delle donne in azienda, equità retributiva, tutela della genitorialità.</w:t>
      </w:r>
    </w:p>
    <w:p w14:paraId="7818E65F" w14:textId="77777777" w:rsidR="00685685" w:rsidRPr="00FB3489" w:rsidRDefault="00685685" w:rsidP="00227EBE">
      <w:pPr>
        <w:snapToGrid w:val="0"/>
        <w:rPr>
          <w:rFonts w:ascii="Calibri" w:eastAsia="Times New Roman" w:hAnsi="Calibri" w:cs="Calibri"/>
          <w:noProof/>
          <w:color w:val="000000" w:themeColor="text1"/>
          <w:sz w:val="11"/>
          <w:szCs w:val="11"/>
          <w:lang w:eastAsia="it-IT"/>
        </w:rPr>
      </w:pPr>
    </w:p>
    <w:p w14:paraId="6E4ACE62" w14:textId="77777777" w:rsidR="00685685" w:rsidRPr="00FB3489" w:rsidRDefault="00685685" w:rsidP="00E61BC0">
      <w:pPr>
        <w:jc w:val="both"/>
        <w:rPr>
          <w:rFonts w:cstheme="minorHAnsi"/>
          <w:noProof/>
          <w:sz w:val="22"/>
          <w:szCs w:val="22"/>
        </w:rPr>
      </w:pP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La certificazione rispecchia la Politica per la diversità e la parità di genere già adottata dall’azienda, in linea con il Codice Etico: Athlon, infatti, riconosce e accoglie i benefici della </w:t>
      </w:r>
      <w:r w:rsidRPr="00FB3489">
        <w:rPr>
          <w:rFonts w:ascii="Calibri" w:eastAsia="Times New Roman" w:hAnsi="Calibri" w:cs="Calibri"/>
          <w:i/>
          <w:iCs/>
          <w:noProof/>
          <w:color w:val="000000" w:themeColor="text1"/>
          <w:sz w:val="22"/>
          <w:szCs w:val="22"/>
          <w:lang w:eastAsia="it-IT"/>
        </w:rPr>
        <w:t xml:space="preserve">diversity 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come concetti integranti della propria strategia aziendale e si impegna a sviluppare un ambiente di lavoro improntato alla collaborazione e al benessere, dove </w:t>
      </w:r>
      <w:r w:rsidRPr="00FB3489">
        <w:rPr>
          <w:rFonts w:cstheme="minorHAnsi"/>
          <w:noProof/>
          <w:sz w:val="22"/>
          <w:szCs w:val="22"/>
        </w:rPr>
        <w:t>le persone sono al centro dello sviluppo aziendale, valorizzate nei diversi ruoli per le differenze e le competenze quali elementi di crescita, sviluppo e inclusività.</w:t>
      </w:r>
    </w:p>
    <w:p w14:paraId="46DC79D1" w14:textId="77777777" w:rsidR="00685685" w:rsidRPr="00FB3489" w:rsidRDefault="00685685" w:rsidP="00227EBE">
      <w:pPr>
        <w:snapToGrid w:val="0"/>
        <w:rPr>
          <w:rFonts w:ascii="Calibri" w:eastAsia="Times New Roman" w:hAnsi="Calibri" w:cs="Calibri"/>
          <w:noProof/>
          <w:color w:val="000000" w:themeColor="text1"/>
          <w:sz w:val="11"/>
          <w:szCs w:val="11"/>
          <w:lang w:eastAsia="it-IT"/>
        </w:rPr>
      </w:pPr>
    </w:p>
    <w:p w14:paraId="133A1647" w14:textId="453A9A3A" w:rsidR="00685685" w:rsidRPr="00FB3489" w:rsidRDefault="00685685" w:rsidP="00E61BC0">
      <w:pPr>
        <w:snapToGrid w:val="0"/>
        <w:jc w:val="both"/>
        <w:rPr>
          <w:rFonts w:ascii="Calibri" w:hAnsi="Calibri" w:cs="Calibri"/>
          <w:noProof/>
          <w:sz w:val="22"/>
          <w:szCs w:val="22"/>
        </w:rPr>
      </w:pP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Tra i punti di forza evidenziati nell’</w:t>
      </w:r>
      <w:r w:rsidRPr="00FB3489">
        <w:rPr>
          <w:rFonts w:ascii="Calibri" w:eastAsia="Times New Roman" w:hAnsi="Calibri" w:cs="Calibri"/>
          <w:i/>
          <w:iCs/>
          <w:noProof/>
          <w:color w:val="000000" w:themeColor="text1"/>
          <w:sz w:val="22"/>
          <w:szCs w:val="22"/>
          <w:lang w:eastAsia="it-IT"/>
        </w:rPr>
        <w:t>audit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dell’ente di certificazione - che hanno permesso ad Athlon di ottenere un risultato ben superiore alla soglia necessaria del 60% sugli indicatori KPI </w:t>
      </w:r>
      <w:r w:rsidR="00937C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-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troviamo per primo la condivisione delle informazioni con il personale per un equo coinvolgimento di tutti i dipendenti nel contesto lavorativo. A seguire, l’attivazione dell’</w:t>
      </w:r>
      <w:r w:rsidRPr="00FB3489">
        <w:rPr>
          <w:rFonts w:ascii="Calibri" w:hAnsi="Calibri" w:cs="Calibri"/>
          <w:i/>
          <w:iCs/>
          <w:noProof/>
          <w:sz w:val="22"/>
          <w:szCs w:val="22"/>
        </w:rPr>
        <w:t>Infopoint</w:t>
      </w:r>
      <w:r w:rsidRPr="00FB3489">
        <w:rPr>
          <w:rFonts w:ascii="Calibri" w:hAnsi="Calibri" w:cs="Calibri"/>
          <w:noProof/>
          <w:sz w:val="22"/>
          <w:szCs w:val="22"/>
        </w:rPr>
        <w:t xml:space="preserve"> che collega i lavoratori e le lavoratrici di Athlon sulle tematiche di integrity</w:t>
      </w:r>
      <w:r w:rsidRPr="00FB3489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e infine la programmazione di </w:t>
      </w:r>
      <w:r w:rsidRPr="00FB3489">
        <w:rPr>
          <w:rFonts w:ascii="Calibri" w:hAnsi="Calibri" w:cs="Calibri"/>
          <w:noProof/>
          <w:sz w:val="22"/>
          <w:szCs w:val="22"/>
        </w:rPr>
        <w:t>eventi di formazione e comunicazione, anche esterni all’azienda, a supporto dei temi della PdR 125.</w:t>
      </w:r>
    </w:p>
    <w:p w14:paraId="5523B5A2" w14:textId="77777777" w:rsidR="00095875" w:rsidRPr="00FB3489" w:rsidRDefault="00095875" w:rsidP="00E61BC0">
      <w:pPr>
        <w:snapToGrid w:val="0"/>
        <w:jc w:val="both"/>
        <w:rPr>
          <w:rFonts w:ascii="Calibri" w:eastAsia="Times New Roman" w:hAnsi="Calibri" w:cs="Calibri"/>
          <w:noProof/>
          <w:color w:val="000000"/>
          <w:sz w:val="6"/>
          <w:szCs w:val="6"/>
          <w:lang w:eastAsia="it-IT"/>
        </w:rPr>
      </w:pPr>
    </w:p>
    <w:p w14:paraId="5746854D" w14:textId="77860B57" w:rsidR="00095875" w:rsidRPr="00FB3489" w:rsidRDefault="00937CDE" w:rsidP="00095875">
      <w:pPr>
        <w:snapToGrid w:val="0"/>
        <w:ind w:right="-7"/>
        <w:contextualSpacing/>
        <w:jc w:val="center"/>
        <w:rPr>
          <w:rFonts w:ascii="Calibri" w:hAnsi="Calibri" w:cs="Calibri"/>
          <w:noProof/>
          <w:color w:val="000000" w:themeColor="text1"/>
          <w:sz w:val="22"/>
          <w:szCs w:val="22"/>
        </w:rPr>
      </w:pPr>
      <w:hyperlink r:id="rId6" w:history="1">
        <w:r w:rsidR="00095875" w:rsidRPr="00FB3489">
          <w:rPr>
            <w:rStyle w:val="Collegamentoipertestuale"/>
            <w:rFonts w:ascii="Calibri" w:hAnsi="Calibri" w:cs="Calibri"/>
            <w:noProof/>
            <w:color w:val="000000" w:themeColor="text1"/>
            <w:sz w:val="22"/>
            <w:szCs w:val="22"/>
          </w:rPr>
          <w:t xml:space="preserve">LINK ALLE </w:t>
        </w:r>
        <w:r w:rsidR="00095875" w:rsidRPr="00FB3489">
          <w:rPr>
            <w:rStyle w:val="Collegamentoipertestuale"/>
            <w:rFonts w:ascii="Calibri" w:hAnsi="Calibri" w:cs="Calibri"/>
            <w:noProof/>
            <w:color w:val="000000" w:themeColor="text1"/>
            <w:sz w:val="22"/>
            <w:szCs w:val="22"/>
          </w:rPr>
          <w:t>I</w:t>
        </w:r>
        <w:r w:rsidR="00095875" w:rsidRPr="00FB3489">
          <w:rPr>
            <w:rStyle w:val="Collegamentoipertestuale"/>
            <w:rFonts w:ascii="Calibri" w:hAnsi="Calibri" w:cs="Calibri"/>
            <w:noProof/>
            <w:color w:val="000000" w:themeColor="text1"/>
            <w:sz w:val="22"/>
            <w:szCs w:val="22"/>
          </w:rPr>
          <w:t>MMAGINI</w:t>
        </w:r>
      </w:hyperlink>
    </w:p>
    <w:p w14:paraId="03B9230C" w14:textId="5F1C2F11" w:rsidR="00685685" w:rsidRPr="00FB3489" w:rsidRDefault="00685685" w:rsidP="00E61BC0">
      <w:pPr>
        <w:snapToGrid w:val="0"/>
        <w:ind w:right="-7"/>
        <w:contextualSpacing/>
        <w:jc w:val="both"/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</w:rPr>
      </w:pPr>
      <w:r w:rsidRPr="00FB3489"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</w:rPr>
        <w:t>Athlon - Getting you there</w:t>
      </w:r>
    </w:p>
    <w:p w14:paraId="7082230D" w14:textId="592280F4" w:rsidR="00685685" w:rsidRPr="00FB3489" w:rsidRDefault="00685685" w:rsidP="00227EBE">
      <w:pPr>
        <w:snapToGrid w:val="0"/>
        <w:spacing w:line="220" w:lineRule="exact"/>
        <w:ind w:right="-6"/>
        <w:contextualSpacing/>
        <w:jc w:val="both"/>
        <w:rPr>
          <w:rStyle w:val="Collegamentoipertestuale"/>
          <w:i/>
          <w:iCs/>
          <w:noProof/>
          <w:sz w:val="20"/>
          <w:szCs w:val="20"/>
        </w:rPr>
      </w:pP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Athlon è uno dei principali fornitori di noleggio di veicoli e fleet management in Europa, con una flotta gestita di circa 400.000 veicoli. Athlon, da oltre 100 anni, indirizza, supporta e fornisce le soluzioni di mobilità migliori per i suoi clienti. </w:t>
      </w:r>
      <w:r w:rsidR="00FB3489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Athlon è parte di Mercedes-Benz Mobility AG. 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Con sede nei Paesi Bassi, Athlon è attiva in 20 paesi in Europa</w:t>
      </w:r>
      <w:r w:rsidR="00FB3489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, 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in Italia dal 2009</w:t>
      </w:r>
      <w:r w:rsidR="00FB3489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,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 ed è un operatore focalizzato sulle aziende di tutte le dimensioni e i professionisti con partita </w:t>
      </w:r>
      <w:r w:rsidR="00FB3489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I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va. È in grado di offrire soluzioni di mobilità dal breve al</w:t>
      </w:r>
      <w:r w:rsidR="00227EBE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 </w:t>
      </w:r>
      <w:r w:rsidR="00FB3489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l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ungo</w:t>
      </w:r>
      <w:r w:rsidR="00227EBE"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 </w:t>
      </w:r>
      <w:r w:rsidRPr="00FB3489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termine e di adattare i suoi servizi alle esigenze dei clienti.</w:t>
      </w:r>
      <w:r w:rsidRPr="00FB3489">
        <w:rPr>
          <w:rFonts w:ascii="Calibri" w:hAnsi="Calibri" w:cs="Calibri"/>
          <w:i/>
          <w:iCs/>
          <w:noProof/>
          <w:sz w:val="20"/>
          <w:szCs w:val="20"/>
        </w:rPr>
        <w:t xml:space="preserve"> </w:t>
      </w:r>
      <w:hyperlink r:id="rId7" w:history="1">
        <w:r w:rsidRPr="00FB3489">
          <w:rPr>
            <w:rStyle w:val="Collegamentoipertestuale"/>
            <w:rFonts w:ascii="Calibri" w:hAnsi="Calibri" w:cs="Calibri"/>
            <w:i/>
            <w:iCs/>
            <w:noProof/>
            <w:sz w:val="20"/>
            <w:szCs w:val="20"/>
          </w:rPr>
          <w:t>www.athlon.com/it</w:t>
        </w:r>
      </w:hyperlink>
    </w:p>
    <w:p w14:paraId="3C6C0315" w14:textId="16BF0038" w:rsidR="00094CF3" w:rsidRPr="00937CDE" w:rsidRDefault="00094CF3" w:rsidP="00227EBE">
      <w:pPr>
        <w:snapToGrid w:val="0"/>
        <w:jc w:val="both"/>
        <w:rPr>
          <w:noProof/>
          <w:sz w:val="11"/>
          <w:szCs w:val="11"/>
        </w:rPr>
      </w:pPr>
    </w:p>
    <w:p w14:paraId="714AEF90" w14:textId="77777777" w:rsidR="00094CF3" w:rsidRPr="00FB3489" w:rsidRDefault="00094CF3" w:rsidP="00227EBE">
      <w:pPr>
        <w:tabs>
          <w:tab w:val="left" w:pos="388"/>
        </w:tabs>
        <w:snapToGrid w:val="0"/>
        <w:spacing w:line="220" w:lineRule="exact"/>
        <w:contextualSpacing/>
        <w:rPr>
          <w:rFonts w:ascii="Calibri" w:hAnsi="Calibri" w:cs="Calibri"/>
          <w:noProof/>
          <w:color w:val="000000"/>
          <w:sz w:val="21"/>
          <w:szCs w:val="21"/>
        </w:rPr>
      </w:pPr>
      <w:r w:rsidRPr="00FB3489">
        <w:rPr>
          <w:rFonts w:ascii="Calibri" w:hAnsi="Calibri" w:cs="Calibri"/>
          <w:noProof/>
          <w:color w:val="000000"/>
          <w:sz w:val="21"/>
          <w:szCs w:val="21"/>
        </w:rPr>
        <w:t>Ufficio Stampa Athlon Italy - MOCOCÓ Montefusco Colla Comunicazione</w:t>
      </w:r>
    </w:p>
    <w:p w14:paraId="62D55FB8" w14:textId="77777777" w:rsidR="00094CF3" w:rsidRPr="00FB3489" w:rsidRDefault="00094CF3" w:rsidP="00227EBE">
      <w:pPr>
        <w:tabs>
          <w:tab w:val="left" w:pos="388"/>
        </w:tabs>
        <w:snapToGrid w:val="0"/>
        <w:spacing w:line="220" w:lineRule="exact"/>
        <w:contextualSpacing/>
        <w:rPr>
          <w:rFonts w:ascii="Calibri" w:hAnsi="Calibri" w:cs="Calibri"/>
          <w:noProof/>
          <w:sz w:val="21"/>
          <w:szCs w:val="21"/>
        </w:rPr>
      </w:pPr>
      <w:r w:rsidRPr="00FB3489">
        <w:rPr>
          <w:rFonts w:ascii="Calibri" w:hAnsi="Calibri" w:cs="Calibri"/>
          <w:noProof/>
          <w:color w:val="000000"/>
          <w:sz w:val="21"/>
          <w:szCs w:val="21"/>
        </w:rPr>
        <w:t xml:space="preserve">Annachiara Montefusco M 339 7218836 T 02 38265241  </w:t>
      </w:r>
      <w:hyperlink r:id="rId8" w:history="1">
        <w:r w:rsidRPr="00FB3489">
          <w:rPr>
            <w:rStyle w:val="Collegamentoipertestuale"/>
            <w:rFonts w:ascii="Calibri" w:hAnsi="Calibri" w:cs="Calibri"/>
            <w:noProof/>
            <w:color w:val="000000" w:themeColor="text1"/>
            <w:sz w:val="21"/>
            <w:szCs w:val="21"/>
            <w:u w:val="none"/>
          </w:rPr>
          <w:t>annachiara@mococopr.it</w:t>
        </w:r>
      </w:hyperlink>
    </w:p>
    <w:sectPr w:rsidR="00094CF3" w:rsidRPr="00FB3489" w:rsidSect="00227EBE">
      <w:pgSz w:w="11906" w:h="16838"/>
      <w:pgMar w:top="619" w:right="1134" w:bottom="2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85"/>
    <w:rsid w:val="00094CF3"/>
    <w:rsid w:val="00095875"/>
    <w:rsid w:val="000F567B"/>
    <w:rsid w:val="001C4E71"/>
    <w:rsid w:val="00227EBE"/>
    <w:rsid w:val="004F1220"/>
    <w:rsid w:val="00683AC1"/>
    <w:rsid w:val="00685685"/>
    <w:rsid w:val="00937CDE"/>
    <w:rsid w:val="0097189D"/>
    <w:rsid w:val="00BB2B0F"/>
    <w:rsid w:val="00C247A3"/>
    <w:rsid w:val="00E61BC0"/>
    <w:rsid w:val="00FB3489"/>
    <w:rsid w:val="00FE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2DD9"/>
  <w15:chartTrackingRefBased/>
  <w15:docId w15:val="{C29735D3-1B94-497B-82EF-B9D569EB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68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85685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587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95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chiara@mococopr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thlon.com/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cl/fo/jt80k4adewmswcgcgw1ly/AAMPLUUzHVHNAkOxGUbDPdo?rlkey=oskc49hqlmudkrbw6d9a7tgqd&amp;dl=0" TargetMode="Externa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Anselmo, Silvia (906)</dc:creator>
  <cp:keywords/>
  <dc:description/>
  <cp:lastModifiedBy>Microsoft Office User</cp:lastModifiedBy>
  <cp:revision>3</cp:revision>
  <dcterms:created xsi:type="dcterms:W3CDTF">2025-01-31T11:26:00Z</dcterms:created>
  <dcterms:modified xsi:type="dcterms:W3CDTF">2025-01-31T12:12:00Z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2025-01-16T08:59:42Z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64400f9a-9a6c-4f6d-b557-f2a59904b009</vt:lpwstr>
  </property>
  <property fmtid="{D5CDD505-2E9C-101B-9397-08002B2CF9AE}" pid="8" name="MSIP_Label_924dbb1d-991d-4bbd-aad5-33bac1d8ffaf_ContentBits">
    <vt:lpwstr>0</vt:lpwstr>
  </property>
</Properties>
</file>